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C86" w:rsidRPr="00C97DEC" w:rsidRDefault="00301C86" w:rsidP="00301C86">
      <w:pPr>
        <w:pStyle w:val="1"/>
        <w:ind w:firstLine="709"/>
        <w:rPr>
          <w:rFonts w:ascii="PF Din Text Cond Pro Light" w:hAnsi="PF Din Text Cond Pro Light"/>
          <w:sz w:val="28"/>
          <w:szCs w:val="28"/>
        </w:rPr>
      </w:pPr>
      <w:r w:rsidRPr="00C97DEC">
        <w:rPr>
          <w:rFonts w:ascii="PF Din Text Cond Pro Light" w:hAnsi="PF Din Text Cond Pro Light"/>
          <w:sz w:val="28"/>
          <w:szCs w:val="28"/>
        </w:rPr>
        <w:t>Паспорт</w:t>
      </w:r>
      <w:r w:rsidR="006E6CFA">
        <w:rPr>
          <w:rFonts w:ascii="PF Din Text Cond Pro Light" w:hAnsi="PF Din Text Cond Pro Light"/>
          <w:sz w:val="28"/>
          <w:szCs w:val="28"/>
        </w:rPr>
        <w:t xml:space="preserve"> </w:t>
      </w:r>
      <w:r w:rsidRPr="00C97DEC">
        <w:rPr>
          <w:rFonts w:ascii="PF Din Text Cond Pro Light" w:hAnsi="PF Din Text Cond Pro Light"/>
          <w:sz w:val="28"/>
          <w:szCs w:val="28"/>
        </w:rPr>
        <w:t>услуги (процесса) сетевой организации</w:t>
      </w:r>
    </w:p>
    <w:p w:rsidR="00301C86" w:rsidRPr="00C97DEC" w:rsidRDefault="00301C86" w:rsidP="00301C86">
      <w:pPr>
        <w:ind w:firstLine="709"/>
        <w:rPr>
          <w:rFonts w:ascii="PF Din Text Cond Pro Light" w:hAnsi="PF Din Text Cond Pro Light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 xml:space="preserve">1. Наименование услуги (процесса): </w:t>
      </w:r>
    </w:p>
    <w:p w:rsidR="00301C86" w:rsidRPr="006E6CFA" w:rsidRDefault="00AE3A48" w:rsidP="00AE3A48">
      <w:pPr>
        <w:widowControl/>
        <w:ind w:firstLine="709"/>
        <w:rPr>
          <w:rFonts w:ascii="Times New Roman" w:hAnsi="Times New Roman"/>
          <w:sz w:val="26"/>
          <w:szCs w:val="26"/>
        </w:rPr>
      </w:pPr>
      <w:r w:rsidRPr="006E6CFA">
        <w:rPr>
          <w:rFonts w:ascii="Times New Roman" w:eastAsiaTheme="minorHAnsi" w:hAnsi="Times New Roman"/>
          <w:bCs/>
          <w:sz w:val="26"/>
          <w:szCs w:val="26"/>
          <w:lang w:eastAsia="en-US"/>
        </w:rPr>
        <w:t>расчет объема переданной электрической энергии потребителю.</w:t>
      </w: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 xml:space="preserve">2. Круг заявителей: </w:t>
      </w:r>
    </w:p>
    <w:p w:rsidR="00301C86" w:rsidRPr="006E6CFA" w:rsidRDefault="00AE3A48" w:rsidP="00301C8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CFA">
        <w:rPr>
          <w:rFonts w:ascii="Times New Roman" w:hAnsi="Times New Roman" w:cs="Times New Roman"/>
          <w:sz w:val="26"/>
          <w:szCs w:val="26"/>
        </w:rPr>
        <w:t>Физические лица, юридические лица, индивидуальные предприниматели.</w:t>
      </w: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 xml:space="preserve">3. Размер платы за предоставление услуги (процесса) и основание ее взимания: </w:t>
      </w: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sz w:val="26"/>
          <w:szCs w:val="26"/>
        </w:rPr>
      </w:pPr>
      <w:r w:rsidRPr="006E6CFA">
        <w:rPr>
          <w:rFonts w:ascii="Times New Roman" w:hAnsi="Times New Roman" w:cs="Times New Roman"/>
          <w:sz w:val="26"/>
          <w:szCs w:val="26"/>
        </w:rPr>
        <w:t>услуга предоставляется бесплатно.</w:t>
      </w: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 xml:space="preserve">4. Условия оказания услуги (процесса): </w:t>
      </w:r>
    </w:p>
    <w:p w:rsidR="00AE3A48" w:rsidRPr="006E6CFA" w:rsidRDefault="00AE3A48" w:rsidP="006E6CFA">
      <w:pPr>
        <w:pStyle w:val="20"/>
        <w:keepNext/>
        <w:keepLines/>
        <w:shd w:val="clear" w:color="auto" w:fill="auto"/>
        <w:spacing w:before="0"/>
        <w:ind w:left="709"/>
        <w:rPr>
          <w:sz w:val="26"/>
          <w:szCs w:val="26"/>
        </w:rPr>
      </w:pPr>
      <w:r w:rsidRPr="006E6CFA">
        <w:rPr>
          <w:sz w:val="26"/>
          <w:szCs w:val="26"/>
        </w:rPr>
        <w:t xml:space="preserve">наличие заключенного с </w:t>
      </w:r>
      <w:r w:rsidR="006E6CFA">
        <w:rPr>
          <w:sz w:val="26"/>
          <w:szCs w:val="26"/>
        </w:rPr>
        <w:t>ЯрМК</w:t>
      </w:r>
      <w:r w:rsidRPr="006E6CFA">
        <w:rPr>
          <w:sz w:val="26"/>
          <w:szCs w:val="26"/>
        </w:rPr>
        <w:t xml:space="preserve"> договора ока</w:t>
      </w:r>
      <w:r w:rsidRPr="006E6CFA">
        <w:rPr>
          <w:sz w:val="26"/>
          <w:szCs w:val="26"/>
        </w:rPr>
        <w:softHyphen/>
        <w:t>зания услуг по передаче электрической энергии, процесс осуществляется в рамках оказания услуг по передаче электрической энергии.</w:t>
      </w: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 xml:space="preserve">5. Результат оказания услуги (процесса): </w:t>
      </w:r>
    </w:p>
    <w:p w:rsidR="00FA31F5" w:rsidRPr="006E6CFA" w:rsidRDefault="00FA31F5" w:rsidP="00FA31F5">
      <w:pPr>
        <w:widowControl/>
        <w:ind w:firstLine="709"/>
        <w:rPr>
          <w:rFonts w:ascii="Times New Roman" w:hAnsi="Times New Roman"/>
          <w:sz w:val="26"/>
          <w:szCs w:val="26"/>
        </w:rPr>
      </w:pPr>
      <w:r w:rsidRPr="006E6CFA">
        <w:rPr>
          <w:rFonts w:ascii="Times New Roman" w:eastAsiaTheme="minorHAnsi" w:hAnsi="Times New Roman"/>
          <w:bCs/>
          <w:sz w:val="26"/>
          <w:szCs w:val="26"/>
          <w:lang w:eastAsia="en-US"/>
        </w:rPr>
        <w:t>расчет объема переданной электрической энергии потребителю.</w:t>
      </w: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 xml:space="preserve">6. Общий срок оказания услуги (процесса): </w:t>
      </w:r>
    </w:p>
    <w:p w:rsidR="00301C86" w:rsidRPr="006E6CFA" w:rsidRDefault="003419FB" w:rsidP="00301C8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CFA">
        <w:rPr>
          <w:rFonts w:ascii="Times New Roman" w:hAnsi="Times New Roman" w:cs="Times New Roman"/>
          <w:sz w:val="26"/>
          <w:szCs w:val="26"/>
        </w:rPr>
        <w:t>календарный месяц, начиная с первого числа месяца.</w:t>
      </w:r>
    </w:p>
    <w:p w:rsidR="00301C86" w:rsidRPr="006E6CFA" w:rsidRDefault="00301C86" w:rsidP="00301C86">
      <w:pPr>
        <w:ind w:firstLine="709"/>
        <w:rPr>
          <w:rFonts w:ascii="Times New Roman" w:hAnsi="Times New Roman"/>
          <w:sz w:val="26"/>
          <w:szCs w:val="26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>7. Состав, последовательность и сроки оказания услуги (процесса):</w:t>
      </w:r>
    </w:p>
    <w:p w:rsidR="007B12A3" w:rsidRPr="00C97DEC" w:rsidRDefault="007B12A3" w:rsidP="00301C86">
      <w:pPr>
        <w:pStyle w:val="a6"/>
        <w:ind w:firstLine="709"/>
        <w:rPr>
          <w:rFonts w:ascii="PF Din Text Cond Pro Light" w:hAnsi="PF Din Text Cond Pro Light" w:cs="Times New Roman"/>
          <w:b/>
        </w:rPr>
        <w:sectPr w:rsidR="007B12A3" w:rsidRPr="00C97DEC" w:rsidSect="00DB515F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1840"/>
        <w:gridCol w:w="2612"/>
        <w:gridCol w:w="2661"/>
        <w:gridCol w:w="1927"/>
        <w:gridCol w:w="2449"/>
        <w:gridCol w:w="2277"/>
      </w:tblGrid>
      <w:tr w:rsidR="007B12A3" w:rsidRPr="00C97DEC" w:rsidTr="00D11A46">
        <w:tc>
          <w:tcPr>
            <w:tcW w:w="199" w:type="pct"/>
            <w:shd w:val="clear" w:color="auto" w:fill="auto"/>
          </w:tcPr>
          <w:p w:rsidR="007B12A3" w:rsidRPr="006E6CFA" w:rsidRDefault="006E6CFA" w:rsidP="007B12A3">
            <w:pPr>
              <w:ind w:left="-7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6CF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642" w:type="pct"/>
            <w:shd w:val="clear" w:color="auto" w:fill="auto"/>
          </w:tcPr>
          <w:p w:rsidR="007B12A3" w:rsidRPr="006E6CFA" w:rsidRDefault="006E6CFA" w:rsidP="007B12A3">
            <w:pPr>
              <w:ind w:left="-120" w:firstLine="0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6E6CFA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911" w:type="pct"/>
            <w:shd w:val="clear" w:color="auto" w:fill="auto"/>
          </w:tcPr>
          <w:p w:rsidR="007B12A3" w:rsidRPr="006E6CFA" w:rsidRDefault="006E6CFA" w:rsidP="007B12A3">
            <w:pPr>
              <w:snapToGrid w:val="0"/>
              <w:ind w:firstLine="0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6E6CFA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Условия этапа</w:t>
            </w:r>
          </w:p>
        </w:tc>
        <w:tc>
          <w:tcPr>
            <w:tcW w:w="928" w:type="pct"/>
            <w:shd w:val="clear" w:color="auto" w:fill="auto"/>
          </w:tcPr>
          <w:p w:rsidR="007B12A3" w:rsidRPr="006E6CFA" w:rsidRDefault="006E6CFA" w:rsidP="007B12A3">
            <w:pPr>
              <w:snapToGrid w:val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E6CFA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672" w:type="pct"/>
            <w:shd w:val="clear" w:color="auto" w:fill="auto"/>
          </w:tcPr>
          <w:p w:rsidR="007B12A3" w:rsidRPr="006E6CFA" w:rsidRDefault="006E6CFA" w:rsidP="007B12A3">
            <w:pPr>
              <w:snapToGrid w:val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E6CFA">
              <w:rPr>
                <w:rFonts w:ascii="Times New Roman" w:hAnsi="Times New Roman"/>
                <w:b/>
                <w:sz w:val="20"/>
                <w:szCs w:val="20"/>
              </w:rPr>
              <w:t>Форма предоставления</w:t>
            </w:r>
          </w:p>
        </w:tc>
        <w:tc>
          <w:tcPr>
            <w:tcW w:w="854" w:type="pct"/>
            <w:shd w:val="clear" w:color="auto" w:fill="auto"/>
          </w:tcPr>
          <w:p w:rsidR="007B12A3" w:rsidRPr="006E6CFA" w:rsidRDefault="006E6CFA" w:rsidP="007B12A3">
            <w:pPr>
              <w:snapToGrid w:val="0"/>
              <w:ind w:firstLine="0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6E6CFA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Срок исполнения</w:t>
            </w:r>
          </w:p>
        </w:tc>
        <w:tc>
          <w:tcPr>
            <w:tcW w:w="794" w:type="pct"/>
            <w:shd w:val="clear" w:color="auto" w:fill="auto"/>
          </w:tcPr>
          <w:p w:rsidR="007B12A3" w:rsidRPr="006E6CFA" w:rsidRDefault="006E6CFA" w:rsidP="007B12A3">
            <w:pPr>
              <w:snapToGrid w:val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E6CFA">
              <w:rPr>
                <w:rFonts w:ascii="Times New Roman" w:hAnsi="Times New Roman"/>
                <w:b/>
                <w:sz w:val="20"/>
                <w:szCs w:val="20"/>
              </w:rPr>
              <w:t>Ссылка на нормативно правовой акт</w:t>
            </w:r>
          </w:p>
        </w:tc>
      </w:tr>
      <w:tr w:rsidR="006E6CFA" w:rsidRPr="00C97DEC" w:rsidTr="00D11A46"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Снятие показаний приборов учета электрической энергии потребителем</w:t>
            </w:r>
          </w:p>
          <w:p w:rsidR="006E6CFA" w:rsidRPr="00C97DEC" w:rsidRDefault="006E6CFA" w:rsidP="006E6CFA">
            <w:pPr>
              <w:ind w:left="-120"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Наличие заключенного 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>ЯрМК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 договора оказания услуг по передаче электрической энергии с гарантирующим поставщиком</w:t>
            </w: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Осуществляется потребителем электрической энергии самостоятельно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Визуально (очно)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с 23 по 25 число расчетного месяца - для исполнителей коммунальных услуг</w:t>
            </w: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Не позднее 25-го числа текущего расчетного периода– для собственников и пользователей помещений в многоквартирных домах и жилых домах.</w:t>
            </w: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00 часов 00 минут 1-го дня месяца следующего за расчетным - для иных потребителей.</w:t>
            </w: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Пункт 31(е)  Пра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вил предоставления коммунальных услуг</w:t>
            </w:r>
            <w:r w:rsidRPr="00C97DEC">
              <w:rPr>
                <w:rStyle w:val="a7"/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footnoteReference w:id="1"/>
            </w: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Пункт 33(к(1))  Пра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вил предоставления коммунальных услуг</w:t>
            </w:r>
            <w:r w:rsidRPr="00C97DEC">
              <w:rPr>
                <w:rStyle w:val="a7"/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footnoteReference w:id="2"/>
            </w: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</w:p>
          <w:p w:rsidR="006E6CFA" w:rsidRPr="00C97DEC" w:rsidRDefault="006E6CFA" w:rsidP="006E6CFA">
            <w:pPr>
              <w:snapToGrid w:val="0"/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Пункт 161 Основ функционирования розничных рынков электрической энергии</w:t>
            </w:r>
            <w:r w:rsidRPr="00C97DEC">
              <w:rPr>
                <w:rStyle w:val="a7"/>
                <w:rFonts w:ascii="PF Din Text Cond Pro Light" w:hAnsi="PF Din Text Cond Pro Light"/>
                <w:sz w:val="20"/>
                <w:szCs w:val="20"/>
              </w:rPr>
              <w:footnoteReference w:id="3"/>
            </w: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Прием показаний расчетных приборов учета от потребителя, в том числе используемых в качестве расчетных контрольных приборов учета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Наличие заключенного 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>ЯрМК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 договора оказания услуг по передаче электрической энергии с гарантирующим поставщиком</w:t>
            </w: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Прием показаний расчетных приборов учета от потребителя, в том числе используемых в качестве расчетных контрольных приборов учета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С использованием телефонной связи, электронной почты или иным способом, позволяющим подтвердить факт получения, а также в письменной форме в виде акта снятия показаний расчетных приборов учета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В соответствии с договором оказания услуг по передаче электрической энергии.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Если иные время и дата снятия показаний расчетных приборов учета не установлены договором оказания услуг по передаче электрической энергии, то с использованием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телефонной связи, электронной почты или иным способом, позволяющим подтвердить факт получения ежемесячно, до окончания 1-го дня месяца, следующего за расчетным периодом, в виде акта снятия показаний расчетных приборов учета в течение 3</w:t>
            </w:r>
            <w:r w:rsidRPr="00C97DEC">
              <w:rPr>
                <w:rFonts w:ascii="Cambria" w:eastAsia="Calibri" w:hAnsi="Cambria" w:cs="Cambria"/>
                <w:sz w:val="20"/>
                <w:szCs w:val="20"/>
                <w:lang w:eastAsia="en-US"/>
              </w:rPr>
              <w:t> </w:t>
            </w:r>
            <w:r w:rsidRPr="00C97DEC">
              <w:rPr>
                <w:rFonts w:ascii="PF Din Text Cond Pro Light" w:eastAsia="Calibri" w:hAnsi="PF Din Text Cond Pro Light" w:cs="PF Din Text Cond Pro Light"/>
                <w:sz w:val="20"/>
                <w:szCs w:val="20"/>
                <w:lang w:eastAsia="en-US"/>
              </w:rPr>
              <w:t>рабочих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</w:t>
            </w:r>
            <w:r w:rsidRPr="00C97DEC">
              <w:rPr>
                <w:rFonts w:ascii="PF Din Text Cond Pro Light" w:eastAsia="Calibri" w:hAnsi="PF Din Text Cond Pro Light" w:cs="PF Din Text Cond Pro Light"/>
                <w:sz w:val="20"/>
                <w:szCs w:val="20"/>
                <w:lang w:eastAsia="en-US"/>
              </w:rPr>
              <w:t>дней</w:t>
            </w: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lastRenderedPageBreak/>
              <w:t>Пункты 157, 159 Основ функционирования розничных рынков электрической энергии</w:t>
            </w: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Передача показаний расчетных приборов учета гарантирующему поставщику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Если условиями договора оказания услуг по передаче электрической энергии определено, что потребитель передает информацию о показаниях расчетных приборов учета только сетевой организации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Передача показаний расчетных приборов учета гарантирующему поставщику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Письменное уведомление (реестр) заказным письмом, факсом или иным другим способом, позволяющим определить дату и время передачи уведомления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Если иные время и дата снятия показаний расчетных приборов учета не установлены договором оказания услуг по передаче электрической энергии, то с использованием телефонной связи, электронной почты или иным способом, позволяющим подтвердить факт получения ежемесячно, до окончания 1-го дня месяца, следующего за расчетным периодом, в виде акта снятия показаний расчетных приборов учета в течение 3</w:t>
            </w:r>
            <w:r w:rsidRPr="00C97DEC">
              <w:rPr>
                <w:rFonts w:ascii="Cambria" w:eastAsia="Calibri" w:hAnsi="Cambria" w:cs="Cambria"/>
                <w:sz w:val="20"/>
                <w:szCs w:val="20"/>
                <w:lang w:eastAsia="en-US"/>
              </w:rPr>
              <w:t> </w:t>
            </w:r>
            <w:r w:rsidRPr="00C97DEC">
              <w:rPr>
                <w:rFonts w:ascii="PF Din Text Cond Pro Light" w:eastAsia="Calibri" w:hAnsi="PF Din Text Cond Pro Light" w:cs="PF Din Text Cond Pro Light"/>
                <w:sz w:val="20"/>
                <w:szCs w:val="20"/>
                <w:lang w:eastAsia="en-US"/>
              </w:rPr>
              <w:t>рабочих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</w:t>
            </w:r>
            <w:r w:rsidRPr="00C97DEC">
              <w:rPr>
                <w:rFonts w:ascii="PF Din Text Cond Pro Light" w:eastAsia="Calibri" w:hAnsi="PF Din Text Cond Pro Light" w:cs="PF Din Text Cond Pro Light"/>
                <w:sz w:val="20"/>
                <w:szCs w:val="20"/>
                <w:lang w:eastAsia="en-US"/>
              </w:rPr>
              <w:t>дней</w:t>
            </w: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Пункт 159, 160 Основ функционирования розничных рынков электрической энергии</w:t>
            </w:r>
          </w:p>
        </w:tc>
      </w:tr>
      <w:tr w:rsidR="006E6CFA" w:rsidRPr="00C97DEC" w:rsidTr="006E6CFA">
        <w:trPr>
          <w:trHeight w:val="400"/>
        </w:trPr>
        <w:tc>
          <w:tcPr>
            <w:tcW w:w="5000" w:type="pct"/>
            <w:gridSpan w:val="7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t>4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Определение переданной потребителю электрической энергии:</w:t>
            </w: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eastAsia="Calibri" w:hAnsi="PF Din Text Cond Pro Light"/>
                <w:b/>
                <w:bCs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Определение и передача гарантирующему поставщику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организации) объемов переданной собственникам и пользователи помещений в многоквартирных домах и жилых домах, иным потребителям электрической энергии по показаниям расчетных приборов учета электрической энергии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Потребителем своевременно представлены показания приборов учета, или  получены данные с АИИС КУЭ</w:t>
            </w: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Расчет объемов переданной потребителю электрической энергии на основании переданных потребителем показаний или данных, полученных с АИИС КУЭ.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Передача объёмов в адрес гарантирующего поставщика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организации).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Письменно, с использованием программного обеспечения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до 10-го числа месяца, следующего за расчётным периодом</w:t>
            </w: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Пункт 194 Основ функционирования розничных рынков электрической энергии</w:t>
            </w: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Определение объемов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и передача гарантирующему поставщику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 переданной собственникам и пользователи помещений в многоквартирных домах и жилых домах, иным потребителям электрической энергии по показаниям контрольных приборов учета электроэнергии 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Отсутствие показаний расчетных  приборов учета электрической энергии у сетевой организации после 2 числа месяца, следующего за расчетным и наличие контрольного прибора учета электроэнергии с возможностью доступа персонала сетевой организации для снятия показаний</w:t>
            </w: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Расчет объемов переданной потребителю электрической энергии за расчетный период по показаниям контрольных счетчиков на начало и конец месяца с учетом коэффициентов трансформации трансформаторов тока и напряжения (при наличии), а </w:t>
            </w:r>
            <w:proofErr w:type="gram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так же</w:t>
            </w:r>
            <w:proofErr w:type="gram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исключением объемов электропотребления опосредованно присоединенных потребителей. Передача объёмов в адрес гарантирующего поставщика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организации).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Письменно, с использованием программного обеспечения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до 10 числа месяца следующего за расчетным</w:t>
            </w: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Пункты 194, 164 Основ функционирования розничных рынков электрической энергии</w:t>
            </w: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t>4.3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Определение и передача гарантирующему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поставщику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 объемов переданной собственникам и пользователи помещений в многоквартирных домах и жилых домах, иным потребителям электрической энергии расчетным способом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 xml:space="preserve">Не предоставление показаний расчетных и контрольных приборов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учета электрической энергии в адрес сетевой организации после 2 числа месяца, следующего за расчетным: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- 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собственниками и пользователями помещений в многоквартирных домах и жилых домах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и исполнителями коммунальных услуг в течение 3-х периодов подряд, за исключением нежилых помещений;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- 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собственниками и пользователями помещений в многоквартирных домах и жилых домах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и исполнителями коммунальных </w:t>
            </w:r>
            <w:proofErr w:type="gram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услуг  начиная</w:t>
            </w:r>
            <w:proofErr w:type="gram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с 4-го периода и далее, за исключением нежилых помещений;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- иными потребителями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 xml:space="preserve">Расчет объемов переданной потребителю электрической энергии в отсутствие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показаний счетчиков: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1. Для собственников и пользователей помещений в многоквартирных домах и жилых домах не более 3 расчетных периодов подряд исходя из рассчитанного среднемесячного объема потребления электроэнергии по показаниям расчетных приборов учета за период не менее 6 месяцев, а если период работы прибора учета составил меньше 6 месяцев, то за фактический период работы прибора учета, но не менее 3 месяцев.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Определяется по формуле: W=n*N,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где: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n - количество граждан, постоянно и временно проживающих в жилом помещении;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N - норматив потребления электрической энергии;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2. Для иных потребителей,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а также для потребителей, в расчетах с которым используется ставка за мощность, исходя из показаний расчетного прибора учета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электроэнергии за аналогичный период предыдущего года, а при отсутствии данных за аналогичный период предыдущего года — на основании показаний расчетного прибора учета за ближайший расчетный период, когда такие показания были предоставлены.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Передача объёмов в адрес гарантирующего поставщика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hAnsi="PF Din Text Cond Pro Light"/>
                <w:sz w:val="20"/>
                <w:szCs w:val="20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 xml:space="preserve">Письменно, с использованием программного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обеспечения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 xml:space="preserve"> до 10 числа </w:t>
            </w:r>
            <w:proofErr w:type="gram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месяца</w:t>
            </w:r>
            <w:proofErr w:type="gram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следующего за расчетным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 xml:space="preserve">Пункты 194, Основ функционирования розничных рынков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электрической энергии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Пункт 179 Основ функционирования розничных рынков электрической энергии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Пункт 59 Пра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вил предоставления коммунальных услуг</w:t>
            </w: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lastRenderedPageBreak/>
              <w:t>4.4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Определение и передача гарантирующему поставщику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 объемов переданной потребителю электрической энергии расчетным способом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Наличие двух актов об отказе в доступе к приборам учета электрической энергии, составленных подряд</w:t>
            </w: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Расчет объемов переданной потребителю электрической энергии при 2-кратном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недопуске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к счетчикам: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Для потребителей - с момента составления второго подряд акта об отказе в доступе к приборам учета электроэнергии вплоть до даты допуска к счетчикам исходя из увеличенных в 1,5 раза значений, определенных на основании контрольного прибора учета,, а при их отсутствии на основании увеличенных в 1,5 раза показаний расчетного прибора учета электроэнергии за аналогичный период предыдущего года, а при отсутствии данных за аналогичный период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предыдущего года — на основании показаний расчетного прибора учета за ближайший расчетный период, когда такие показания были предоставлены.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Письменно, с использованием программного обеспечения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до 10 числа месяца следующего за расчетным</w:t>
            </w: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Пункт 194 Основ функционирования розничных рынков электрической энергии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Пункт 151 Основ функционирования розничных рынков электрической энергии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lastRenderedPageBreak/>
              <w:t>4.5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Определение и передача гарантирующему поставщику (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организации) объемов переданной потребителю электрической энергии расчетным способом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Истечение интервала между поверками измерительного трансформатора, используемого для обеспечения коммерческого учета электрической энергии в составе измерительного комплекса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в случае если приобретение, установку, замену и эксплуатацию такого измерительного трансформатора, осуществляет потребитель</w:t>
            </w: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Расчет объемов переданной потребителю электрической энергии при истечении интервала между поверками измерительного трансформатора: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Для 1-го и последующих часов 1-го расчетного периода определяется на основании показаний прибора учета электроэнергии за аналогичный период предыдущего года, а при отсутствии данных за аналогичный период предыдущего года — на основании показаний за ближайший расчетный период, когда такие показания были предоставлены, а начиная с 1-го дня 2-го расчетного периода объем потребления электрической энергии определяется на основании показаний прибора учета, входящего в соответствующий измерительный комплекс, и умножается 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на коэффициент 1,5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Письменно, с использованием программного обеспечения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до 10 числа </w:t>
            </w:r>
            <w:proofErr w:type="gram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месяца</w:t>
            </w:r>
            <w:proofErr w:type="gram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следующего за расчетным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Пункт 194 Основ функционирования розничных рынков электрической энергии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Пункт 184 Основ функционирования розничных рынков электрической энергии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lastRenderedPageBreak/>
              <w:t>4.6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Определение объема неучтенного потребления электрической энергии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Выявление факта неучтенного потребления электроэнергии и составления акта о выявлении несанкционированного подключения, 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акта о несанкционированном вмешательстве в работу прибора учета, акта проверки (</w:t>
            </w:r>
            <w:proofErr w:type="gramStart"/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для 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собственников</w:t>
            </w:r>
            <w:proofErr w:type="gram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и пользователей помещений в многоквартирных домах и жилых домах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),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акта о неучтенном потреблении электроэнергии (для иных потребителей).  </w:t>
            </w: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1. Для собственников и пользователей помещений в многоквартирных домах и жилых домах доначисление размера платы должно быть произведено исходя из объемов коммунального ресурса, рассчитанных как произведение мощности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несанкционированно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подключенного оборудования и его круглосуточной работы за период начиная с даты осуществления несанкционированного подключения, указанной в акте о выявлении несанкционированного подключения, составленном исполнителем с привлечением соответствующей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ресурсоснабжающей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организации, а в случае невозможности установления даты осуществления несанкционированного подключения - с даты проведения исполнителем предыдущей проверки, но не более чем за 3 месяца, предшествующие месяцу, в котором выявлено такое подключение, до даты устранения исполнителем такого несанкционированного подключения. В случае невозможности определить мощность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несанкционированно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подключенного оборудования доначисление размера платы осуществляется исходя из объема, определенного на основании норматива потребления соответствующих коммунальных услуг с применением к такому объему повышающего коэффициента 10. При этом в случае отсутствия постоянно и временно проживающих в жилом помещении граждан объем коммунальных услуг в указанных случаях рассчитывается с учетом количества собственников такого помещения.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Если прибор учета установлен в жилом помещении и иных помещениях, доступ к которым не может быть осуществлен без присутствия потребителя, исполнитель производит перерасчет платы за коммунальную услугу и направляет потребителю требование о внесении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доначисленной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платы за коммунальные услуги. Такой перерасчет производится за период, начиная с даты установления указанных пломб или устройств, но не ранее чем с даты проведения исполнителем предыдущей проверки и не более чем за 3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месяца, предшествующие дате проверки прибора учета, при которой выявлено несанкционированное вмешательство в работу прибора учета, и до даты устранения такого вмешательства, исходя из объема, рассчитанного на основании нормативов потребления соответствующих коммунальных услуг с применением повышающего коэффициента 10.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Плата за коммунальную услугу, предоставленную потребителю в жилом или нежилом помещении за расчетный период, определяется исходя из рассчитанного среднемесячного объема потребления коммунального ресурса потребителем, определенного по показаниям индивидуального или общего (квартирного) прибора учета за период не менее 6 месяцев, а если период работы прибора учета составил меньше 6 месяцев, - то за фактический период работы прибора учета, но не менее 3 месяцев, в следующих случаях и за указанные расчетные периоды: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а) в случае выхода из строя или утраты ранее введенного в эксплуатацию индивидуального, общего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(квартирного), комнатного прибора учета либо истечения срока его эксплуатации, определяемого периодом времени до очередной поверки, - начиная с даты, когда наступили указанные события, а если дату установить невозможно, - то начиная с расчетного периода, в котором наступили указанные события, до даты, когда был возобновлен учет коммунального ресурса путем введения в эксплуатацию соответствующего установленным требованиям индивидуального, общего (квартирного), комнатного прибора учета, но не более 3 расчетных периодов подряд для жилого помещения и не более 2 расчетных периодов подряд для нежилого помещения;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Если период работы индивидуального или общего (квартирного), комнатного прибора учета (за исключением индивидуального или общего (квартирного) прибора учета тепловой энергии) составил менее 3 месяцев, плата за коммунальные услуги, предоставленные потребителям в жилых или нежилых помещениях за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расчетный период, определяется исходя из нормативов потребления соответствующих коммунальных услуг.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2. Для иных потребителей определение объемов неучтенного потребления электрической энергии  потребителем осуществляется с даты предыдущей контрольной проверки прибора учета электрической энергии (в случае если такая проверка не была проведена в запланированные сроки, то определяется с даты, не позднее которой она должна была быть проведена) до даты выявления факта неучтенного потребления электрической энергии (мощности) и составления акта о неучтенном потреблении электрической энергии расчетным способом в соответствии с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п.п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. «а» пункта 1 приложения № 3 ППРФ № 442 «Основ функционирования розничных рынков электрической энергии», а для потребителей, в расчетах с которым используется ставка за мощность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 xml:space="preserve">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помимо объема неучтенного потребления электрической энергии также определяется величина мощности,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 xml:space="preserve">приобретаемой по договору, обеспечивающему продажу электрической энергии (мощности), и величина мощности, оплачиваемой в части услуг по передаче электрической энергии, исходя из почасовых объемов потребления электрической энергии, определяемых в соответствии с </w:t>
            </w:r>
            <w:proofErr w:type="spellStart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п.п</w:t>
            </w:r>
            <w:proofErr w:type="spellEnd"/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. «б» пункта 1 приложения № 3 ППРФ № 442 «Основ функционирования розничных рынков электрической энергии».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Письменно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в течение 3 рабочих дней с момента составления акта о неучтенного потреблении</w:t>
            </w: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Пункт 59, 59(2), 62, 81(11) </w:t>
            </w:r>
            <w:r w:rsidRPr="00C97DEC">
              <w:rPr>
                <w:rFonts w:ascii="PF Din Text Cond Pro Light" w:hAnsi="PF Din Text Cond Pro Light"/>
                <w:sz w:val="20"/>
                <w:szCs w:val="20"/>
              </w:rPr>
              <w:t>Пра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вил предоставления коммунальных услуг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jc w:val="left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Пункты 177, 178, 189, Приложение № 3 </w:t>
            </w:r>
          </w:p>
          <w:p w:rsidR="006E6CFA" w:rsidRPr="00C97DEC" w:rsidRDefault="006E6CFA" w:rsidP="006E6CFA">
            <w:pPr>
              <w:ind w:firstLine="0"/>
              <w:jc w:val="left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Основ функционирования розничных рынков электрической энергии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</w:tc>
      </w:tr>
      <w:tr w:rsidR="006E6CFA" w:rsidRPr="00C97DEC" w:rsidTr="00D11A46">
        <w:trPr>
          <w:trHeight w:val="400"/>
        </w:trPr>
        <w:tc>
          <w:tcPr>
            <w:tcW w:w="199" w:type="pct"/>
            <w:shd w:val="clear" w:color="auto" w:fill="auto"/>
          </w:tcPr>
          <w:p w:rsidR="006E6CFA" w:rsidRPr="00C97DEC" w:rsidRDefault="006E6CFA" w:rsidP="006E6CFA">
            <w:pPr>
              <w:ind w:left="-713"/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</w:pPr>
            <w:r w:rsidRPr="00C97DEC">
              <w:rPr>
                <w:rFonts w:ascii="PF Din Text Cond Pro Light" w:hAnsi="PF Din Text Cond Pro Light"/>
                <w:b/>
                <w:bCs/>
                <w:sz w:val="20"/>
                <w:szCs w:val="20"/>
              </w:rPr>
              <w:lastRenderedPageBreak/>
              <w:t>4.7</w:t>
            </w:r>
          </w:p>
        </w:tc>
        <w:tc>
          <w:tcPr>
            <w:tcW w:w="642" w:type="pct"/>
            <w:shd w:val="clear" w:color="auto" w:fill="auto"/>
          </w:tcPr>
          <w:p w:rsidR="006E6CFA" w:rsidRPr="00C97DEC" w:rsidRDefault="006E6CFA" w:rsidP="006E6CFA">
            <w:pPr>
              <w:ind w:left="-120"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Определение объема неучтенного потребления электрической энергии</w:t>
            </w:r>
          </w:p>
        </w:tc>
        <w:tc>
          <w:tcPr>
            <w:tcW w:w="911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Выявление факта бездоговорного потребления электроэнергии и составления акта о бездоговорном потреблении электроэнергии. </w:t>
            </w:r>
          </w:p>
        </w:tc>
        <w:tc>
          <w:tcPr>
            <w:tcW w:w="928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Объем неучтенного потребления электрической энергии, </w:t>
            </w:r>
            <w:r w:rsidRPr="00C97DEC">
              <w:rPr>
                <w:rFonts w:ascii="PF Din Text Cond Pro Light" w:eastAsia="Calibri" w:hAnsi="PF Din Text Cond Pro Light"/>
                <w:noProof/>
                <w:sz w:val="20"/>
                <w:szCs w:val="20"/>
              </w:rPr>
              <w:drawing>
                <wp:inline distT="0" distB="0" distL="0" distR="0" wp14:anchorId="500FC5D3" wp14:editId="08250513">
                  <wp:extent cx="543560" cy="219075"/>
                  <wp:effectExtent l="0" t="0" r="889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, определяется исходя из величины допустимой длительной токовой нагрузки каждого вводного провода (кабеля) по формулам: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для однофазного ввода: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</w:t>
            </w:r>
            <w:r w:rsidRPr="00C97DEC">
              <w:rPr>
                <w:rFonts w:ascii="PF Din Text Cond Pro Light" w:eastAsia="Calibri" w:hAnsi="PF Din Text Cond Pro Light"/>
                <w:noProof/>
                <w:sz w:val="20"/>
                <w:szCs w:val="20"/>
              </w:rPr>
              <w:drawing>
                <wp:inline distT="0" distB="0" distL="0" distR="0" wp14:anchorId="0F406014" wp14:editId="33B29F41">
                  <wp:extent cx="1400175" cy="4000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,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для трехфазного ввода: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</w:t>
            </w:r>
            <w:r w:rsidRPr="00C97DEC">
              <w:rPr>
                <w:rFonts w:ascii="PF Din Text Cond Pro Light" w:eastAsia="Calibri" w:hAnsi="PF Din Text Cond Pro Light"/>
                <w:noProof/>
                <w:sz w:val="20"/>
                <w:szCs w:val="20"/>
              </w:rPr>
              <w:drawing>
                <wp:inline distT="0" distB="0" distL="0" distR="0" wp14:anchorId="66945F19" wp14:editId="65111DCB">
                  <wp:extent cx="1400175" cy="3714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,</w:t>
            </w: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</w:p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где  </w:t>
            </w:r>
            <w:r w:rsidRPr="00C97DEC">
              <w:rPr>
                <w:rFonts w:ascii="PF Din Text Cond Pro Light" w:eastAsia="Calibri" w:hAnsi="PF Din Text Cond Pro Light"/>
                <w:noProof/>
                <w:sz w:val="20"/>
                <w:szCs w:val="20"/>
              </w:rPr>
              <w:drawing>
                <wp:inline distT="0" distB="0" distL="0" distR="0" wp14:anchorId="5CB0DB2C" wp14:editId="07D50C71">
                  <wp:extent cx="323850" cy="3333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 xml:space="preserve"> - количество часов в определенном в соответствии с пунктом 189 </w:t>
            </w: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Основных положений функционирования розничных рынков электрической энергии периоде времени, в течение которого осуществлялось бездоговорное потребление, но не более чем 8760 часов, ч.</w:t>
            </w:r>
          </w:p>
        </w:tc>
        <w:tc>
          <w:tcPr>
            <w:tcW w:w="672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lastRenderedPageBreak/>
              <w:t>Письменно</w:t>
            </w:r>
          </w:p>
        </w:tc>
        <w:tc>
          <w:tcPr>
            <w:tcW w:w="85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в течение 3 рабочих дней с момента составления акта о бездоговорном потреблении</w:t>
            </w:r>
          </w:p>
        </w:tc>
        <w:tc>
          <w:tcPr>
            <w:tcW w:w="794" w:type="pct"/>
            <w:shd w:val="clear" w:color="auto" w:fill="auto"/>
          </w:tcPr>
          <w:p w:rsidR="006E6CFA" w:rsidRPr="00C97DEC" w:rsidRDefault="006E6CFA" w:rsidP="006E6CFA">
            <w:pPr>
              <w:ind w:firstLine="0"/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</w:pPr>
            <w:r w:rsidRPr="00C97DEC">
              <w:rPr>
                <w:rFonts w:ascii="PF Din Text Cond Pro Light" w:eastAsia="Calibri" w:hAnsi="PF Din Text Cond Pro Light"/>
                <w:sz w:val="20"/>
                <w:szCs w:val="20"/>
                <w:lang w:eastAsia="en-US"/>
              </w:rPr>
              <w:t>Пункт 189 Основ функционирования розничных рынков электрической энергии</w:t>
            </w:r>
          </w:p>
        </w:tc>
      </w:tr>
    </w:tbl>
    <w:p w:rsidR="007B12A3" w:rsidRPr="00C97DEC" w:rsidRDefault="007B12A3" w:rsidP="00301C86">
      <w:pPr>
        <w:pStyle w:val="a6"/>
        <w:ind w:firstLine="709"/>
        <w:rPr>
          <w:rFonts w:ascii="PF Din Text Cond Pro Light" w:hAnsi="PF Din Text Cond Pro Light" w:cs="Times New Roman"/>
          <w:b/>
        </w:rPr>
      </w:pPr>
    </w:p>
    <w:p w:rsidR="00301C86" w:rsidRPr="00C97DEC" w:rsidRDefault="00301C86" w:rsidP="00301C86">
      <w:pPr>
        <w:pStyle w:val="a6"/>
        <w:ind w:firstLine="709"/>
        <w:rPr>
          <w:rFonts w:ascii="PF Din Text Cond Pro Light" w:hAnsi="PF Din Text Cond Pro Light" w:cs="Times New Roman"/>
          <w:b/>
        </w:rPr>
      </w:pPr>
      <w:r w:rsidRPr="00C97DEC">
        <w:rPr>
          <w:rFonts w:ascii="PF Din Text Cond Pro Light" w:hAnsi="PF Din Text Cond Pro Light" w:cs="Times New Roman"/>
          <w:b/>
        </w:rPr>
        <w:t>8. Контактная информация для направления обращений:</w:t>
      </w:r>
    </w:p>
    <w:p w:rsidR="006E6CFA" w:rsidRPr="006E6CFA" w:rsidRDefault="006E6CFA" w:rsidP="006E6CFA">
      <w:pPr>
        <w:pStyle w:val="a6"/>
        <w:ind w:firstLine="709"/>
        <w:rPr>
          <w:rFonts w:ascii="PF Din Text Cond Pro Light" w:hAnsi="PF Din Text Cond Pro Light"/>
        </w:rPr>
      </w:pPr>
      <w:r w:rsidRPr="006E6CFA">
        <w:rPr>
          <w:rFonts w:ascii="PF Din Text Cond Pro Light" w:hAnsi="PF Din Text Cond Pro Light"/>
        </w:rPr>
        <w:t>Номер телефона: (4852) 58-81-87</w:t>
      </w:r>
    </w:p>
    <w:p w:rsidR="006E6CFA" w:rsidRPr="006E6CFA" w:rsidRDefault="006E6CFA" w:rsidP="006E6CFA">
      <w:pPr>
        <w:pStyle w:val="a6"/>
        <w:ind w:firstLine="709"/>
        <w:rPr>
          <w:rFonts w:ascii="PF Din Text Cond Pro Light" w:hAnsi="PF Din Text Cond Pro Light"/>
        </w:rPr>
      </w:pPr>
      <w:r w:rsidRPr="006E6CFA">
        <w:rPr>
          <w:rFonts w:ascii="PF Din Text Cond Pro Light" w:hAnsi="PF Din Text Cond Pro Light"/>
        </w:rPr>
        <w:t xml:space="preserve">Адрес электронной почты ООО «ЯрМК»: </w:t>
      </w:r>
    </w:p>
    <w:p w:rsidR="006E6CFA" w:rsidRPr="006E6CFA" w:rsidRDefault="006E6CFA" w:rsidP="006E6CFA">
      <w:pPr>
        <w:pStyle w:val="a6"/>
        <w:ind w:firstLine="709"/>
        <w:rPr>
          <w:rFonts w:ascii="PF Din Text Cond Pro Light" w:hAnsi="PF Din Text Cond Pro Light"/>
        </w:rPr>
      </w:pPr>
      <w:r w:rsidRPr="006E6CFA">
        <w:rPr>
          <w:rFonts w:ascii="PF Din Text Cond Pro Light" w:hAnsi="PF Din Text Cond Pro Light"/>
        </w:rPr>
        <w:t>Адреса Офисов обслуживания потребителей: 150040 г. Ярославль, пр. Октября, 75</w:t>
      </w:r>
    </w:p>
    <w:p w:rsidR="006E6CFA" w:rsidRPr="006E6CFA" w:rsidRDefault="006E6CFA" w:rsidP="006E6CFA">
      <w:pPr>
        <w:pStyle w:val="a6"/>
        <w:ind w:firstLine="709"/>
        <w:rPr>
          <w:rFonts w:ascii="PF Din Text Cond Pro Light" w:hAnsi="PF Din Text Cond Pro Light"/>
        </w:rPr>
      </w:pPr>
      <w:r w:rsidRPr="006E6CFA">
        <w:rPr>
          <w:rFonts w:ascii="PF Din Text Cond Pro Light" w:hAnsi="PF Din Text Cond Pro Light"/>
        </w:rPr>
        <w:t>Официальный сайт: http://yaresk.ru/index.html</w:t>
      </w:r>
    </w:p>
    <w:p w:rsidR="00301C86" w:rsidRPr="00C97DEC" w:rsidRDefault="00301C86" w:rsidP="00301C86">
      <w:pPr>
        <w:pStyle w:val="a6"/>
        <w:ind w:firstLine="709"/>
        <w:rPr>
          <w:rFonts w:ascii="PF Din Text Cond Pro Light" w:hAnsi="PF Din Text Cond Pro Light" w:cs="Times New Roman"/>
        </w:rPr>
      </w:pPr>
    </w:p>
    <w:p w:rsidR="00301C86" w:rsidRPr="00C97DEC" w:rsidRDefault="00301C86" w:rsidP="00301C86">
      <w:pPr>
        <w:rPr>
          <w:rFonts w:ascii="PF Din Text Cond Pro Light" w:hAnsi="PF Din Text Cond Pro Light"/>
        </w:rPr>
      </w:pPr>
      <w:bookmarkStart w:id="0" w:name="_GoBack"/>
      <w:bookmarkEnd w:id="0"/>
    </w:p>
    <w:sectPr w:rsidR="00301C86" w:rsidRPr="00C97DEC" w:rsidSect="007B12A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2D6" w:rsidRDefault="008F52D6" w:rsidP="00C255FB">
      <w:r>
        <w:separator/>
      </w:r>
    </w:p>
  </w:endnote>
  <w:endnote w:type="continuationSeparator" w:id="0">
    <w:p w:rsidR="008F52D6" w:rsidRDefault="008F52D6" w:rsidP="00C2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2D6" w:rsidRDefault="008F52D6" w:rsidP="00C255FB">
      <w:r>
        <w:separator/>
      </w:r>
    </w:p>
  </w:footnote>
  <w:footnote w:type="continuationSeparator" w:id="0">
    <w:p w:rsidR="008F52D6" w:rsidRDefault="008F52D6" w:rsidP="00C255FB">
      <w:r>
        <w:continuationSeparator/>
      </w:r>
    </w:p>
  </w:footnote>
  <w:footnote w:id="1">
    <w:p w:rsidR="006E6CFA" w:rsidRPr="007B12A3" w:rsidRDefault="006E6CFA" w:rsidP="007B12A3">
      <w:pPr>
        <w:snapToGrid w:val="0"/>
        <w:rPr>
          <w:rFonts w:ascii="Times New Roman" w:hAnsi="Times New Roman"/>
        </w:rPr>
      </w:pPr>
      <w:r w:rsidRPr="007B12A3">
        <w:rPr>
          <w:rStyle w:val="a7"/>
          <w:rFonts w:ascii="Times New Roman" w:hAnsi="Times New Roman"/>
        </w:rPr>
        <w:footnoteRef/>
      </w:r>
      <w:r w:rsidRPr="007B12A3">
        <w:rPr>
          <w:rFonts w:ascii="Times New Roman" w:hAnsi="Times New Roman"/>
        </w:rPr>
        <w:t xml:space="preserve"> Правила предоставления коммунальных услуг собственникам и пользователям помещений в многоквартирных домах и жилых домов, утвержденные постановлением Правительства РФ от 06.05.2011 №354</w:t>
      </w:r>
    </w:p>
  </w:footnote>
  <w:footnote w:id="2">
    <w:p w:rsidR="006E6CFA" w:rsidRPr="007B12A3" w:rsidRDefault="006E6CFA" w:rsidP="007B12A3">
      <w:pPr>
        <w:snapToGrid w:val="0"/>
        <w:rPr>
          <w:rFonts w:ascii="Times New Roman" w:hAnsi="Times New Roman"/>
        </w:rPr>
      </w:pPr>
      <w:r w:rsidRPr="007B12A3">
        <w:rPr>
          <w:rStyle w:val="a7"/>
          <w:rFonts w:ascii="Times New Roman" w:hAnsi="Times New Roman"/>
        </w:rPr>
        <w:footnoteRef/>
      </w:r>
      <w:r w:rsidRPr="007B12A3">
        <w:rPr>
          <w:rFonts w:ascii="Times New Roman" w:hAnsi="Times New Roman"/>
        </w:rPr>
        <w:t xml:space="preserve"> Правила предоставления коммунальных услуг собственникам и пользователям помещений в многоквартирных домах и жилых домов, утвержденные постановлением Правительства РФ от 06.05.2011 №354</w:t>
      </w:r>
    </w:p>
  </w:footnote>
  <w:footnote w:id="3">
    <w:p w:rsidR="006E6CFA" w:rsidRPr="005F3C01" w:rsidRDefault="006E6CFA" w:rsidP="007B12A3">
      <w:r w:rsidRPr="007B12A3">
        <w:rPr>
          <w:rStyle w:val="a7"/>
          <w:rFonts w:ascii="Times New Roman" w:hAnsi="Times New Roman"/>
        </w:rPr>
        <w:footnoteRef/>
      </w:r>
      <w:r w:rsidRPr="007B12A3">
        <w:rPr>
          <w:rFonts w:ascii="Times New Roman" w:hAnsi="Times New Roman"/>
        </w:rPr>
        <w:t xml:space="preserve"> Основы функционирования розничных рынков электрической энергии, утвержденные постановлением Правительства РФ от 04.05.2012 № 442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42C"/>
    <w:rsid w:val="0000360F"/>
    <w:rsid w:val="00061362"/>
    <w:rsid w:val="000A69D7"/>
    <w:rsid w:val="00110A28"/>
    <w:rsid w:val="001B2ADC"/>
    <w:rsid w:val="001D784F"/>
    <w:rsid w:val="00203EB4"/>
    <w:rsid w:val="002A3719"/>
    <w:rsid w:val="002A6C3F"/>
    <w:rsid w:val="002B1B19"/>
    <w:rsid w:val="00301C86"/>
    <w:rsid w:val="003419FB"/>
    <w:rsid w:val="003B0ED7"/>
    <w:rsid w:val="003F1D6E"/>
    <w:rsid w:val="004E4209"/>
    <w:rsid w:val="005F2867"/>
    <w:rsid w:val="006D47B2"/>
    <w:rsid w:val="006E6CFA"/>
    <w:rsid w:val="007174BB"/>
    <w:rsid w:val="00787E48"/>
    <w:rsid w:val="007B12A3"/>
    <w:rsid w:val="008979C3"/>
    <w:rsid w:val="008C0057"/>
    <w:rsid w:val="008E70F4"/>
    <w:rsid w:val="008F52D6"/>
    <w:rsid w:val="009535C1"/>
    <w:rsid w:val="009D342C"/>
    <w:rsid w:val="00AE3A48"/>
    <w:rsid w:val="00B8344F"/>
    <w:rsid w:val="00BF1185"/>
    <w:rsid w:val="00C255FB"/>
    <w:rsid w:val="00C30547"/>
    <w:rsid w:val="00C97B0A"/>
    <w:rsid w:val="00C97DEC"/>
    <w:rsid w:val="00DB515F"/>
    <w:rsid w:val="00E86F89"/>
    <w:rsid w:val="00EA254B"/>
    <w:rsid w:val="00EA5825"/>
    <w:rsid w:val="00EE25B5"/>
    <w:rsid w:val="00F065BF"/>
    <w:rsid w:val="00F12BFC"/>
    <w:rsid w:val="00F43943"/>
    <w:rsid w:val="00FA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9DA3"/>
  <w15:docId w15:val="{A65E13EA-27EA-41F5-AD4D-6F4C5879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C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1C8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1C86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301C8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01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301C8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01C86"/>
    <w:pPr>
      <w:ind w:firstLine="0"/>
      <w:jc w:val="left"/>
    </w:pPr>
    <w:rPr>
      <w:rFonts w:ascii="Courier New" w:hAnsi="Courier New" w:cs="Courier New"/>
    </w:rPr>
  </w:style>
  <w:style w:type="character" w:customStyle="1" w:styleId="2">
    <w:name w:val="Заголовок №2_"/>
    <w:basedOn w:val="a0"/>
    <w:link w:val="20"/>
    <w:locked/>
    <w:rsid w:val="00AE3A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AE3A48"/>
    <w:pPr>
      <w:shd w:val="clear" w:color="auto" w:fill="FFFFFF"/>
      <w:autoSpaceDE/>
      <w:autoSpaceDN/>
      <w:adjustRightInd/>
      <w:spacing w:before="180" w:line="322" w:lineRule="exact"/>
      <w:ind w:firstLine="0"/>
      <w:outlineLvl w:val="1"/>
    </w:pPr>
    <w:rPr>
      <w:rFonts w:ascii="Times New Roman" w:hAnsi="Times New Roman"/>
      <w:sz w:val="28"/>
      <w:szCs w:val="28"/>
      <w:lang w:eastAsia="en-US"/>
    </w:rPr>
  </w:style>
  <w:style w:type="character" w:styleId="a7">
    <w:name w:val="footnote reference"/>
    <w:basedOn w:val="a0"/>
    <w:uiPriority w:val="99"/>
    <w:unhideWhenUsed/>
    <w:rsid w:val="00C255FB"/>
    <w:rPr>
      <w:vertAlign w:val="superscript"/>
    </w:rPr>
  </w:style>
  <w:style w:type="table" w:customStyle="1" w:styleId="-11">
    <w:name w:val="Светлый список - Акцент 11"/>
    <w:basedOn w:val="a1"/>
    <w:uiPriority w:val="61"/>
    <w:rsid w:val="00C255FB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Гурьянов Сергей Александрович</dc:creator>
  <cp:lastModifiedBy>Баранов Сергей Михайлович</cp:lastModifiedBy>
  <cp:revision>3</cp:revision>
  <cp:lastPrinted>2017-07-31T08:58:00Z</cp:lastPrinted>
  <dcterms:created xsi:type="dcterms:W3CDTF">2025-10-07T06:25:00Z</dcterms:created>
  <dcterms:modified xsi:type="dcterms:W3CDTF">2025-10-07T06:32:00Z</dcterms:modified>
</cp:coreProperties>
</file>